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584" w:rsidRDefault="00000000">
      <w:pPr>
        <w:spacing w:after="40"/>
        <w:jc w:val="center"/>
      </w:pPr>
      <w:r>
        <w:rPr>
          <w:b/>
          <w:bCs/>
          <w:color w:val="1B7A43"/>
          <w:sz w:val="32"/>
          <w:szCs w:val="32"/>
        </w:rPr>
        <w:t>PVAC Pipeline Report</w:t>
      </w:r>
    </w:p>
    <w:p w:rsidR="00881584" w:rsidRDefault="00000000">
      <w:pPr>
        <w:spacing w:after="200"/>
        <w:jc w:val="center"/>
      </w:pPr>
      <w:r>
        <w:rPr>
          <w:color w:val="666666"/>
          <w:sz w:val="18"/>
          <w:szCs w:val="18"/>
        </w:rPr>
        <w:t xml:space="preserve">Unlocking the Healthcare Value Chain | </w:t>
      </w:r>
      <w:r w:rsidR="008619B4">
        <w:rPr>
          <w:color w:val="666666"/>
          <w:sz w:val="18"/>
          <w:szCs w:val="18"/>
        </w:rPr>
        <w:t>April</w:t>
      </w:r>
      <w:r>
        <w:rPr>
          <w:color w:val="666666"/>
          <w:sz w:val="18"/>
          <w:szCs w:val="18"/>
        </w:rPr>
        <w:t xml:space="preserve"> 202</w:t>
      </w:r>
      <w:r w:rsidR="008619B4">
        <w:rPr>
          <w:color w:val="666666"/>
          <w:sz w:val="18"/>
          <w:szCs w:val="18"/>
        </w:rPr>
        <w:t>6</w:t>
      </w:r>
    </w:p>
    <w:p w:rsidR="00881584" w:rsidRDefault="00000000">
      <w:pPr>
        <w:pStyle w:val="Heading1"/>
      </w:pPr>
      <w:r>
        <w:t>Executive Summary</w:t>
      </w:r>
    </w:p>
    <w:p w:rsidR="00881584" w:rsidRDefault="00000000">
      <w:pPr>
        <w:spacing w:after="80"/>
      </w:pPr>
      <w:r>
        <w:rPr>
          <w:sz w:val="19"/>
          <w:szCs w:val="19"/>
        </w:rPr>
        <w:t>PVAC’s deal team is advancing 84 active opportunities (71 funding-seeking, most sub-USD 20m) with 56 in live funder discussions. Strategic partnerships with Afreximbank and BOI have unlocked ~USD 75m, positioning 12+ companies for near-term disbursements. 10 companies with BOI have met all fund requirements except bank guarantees, and 6 are in advanced processes with foreign DFIs. Over 40 companies have been engaged, with 20+ investment teasers created for EIB, AfDB, IFC, Afreximbank, BOI, and NSIA.</w:t>
      </w:r>
    </w:p>
    <w:p w:rsidR="00881584" w:rsidRDefault="00000000">
      <w:pPr>
        <w:pStyle w:val="Heading1"/>
      </w:pPr>
      <w:r>
        <w:t>Pipeline Overview</w:t>
      </w:r>
    </w:p>
    <w:p w:rsidR="00881584" w:rsidRDefault="00000000">
      <w:pPr>
        <w:spacing w:after="80"/>
      </w:pPr>
      <w:r>
        <w:rPr>
          <w:sz w:val="19"/>
          <w:szCs w:val="19"/>
        </w:rPr>
        <w:t>Total funding requests stand at ~USD 1.2 billion across 4 sectors: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881584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7A4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81584" w:rsidRDefault="00000000">
            <w:r>
              <w:rPr>
                <w:b/>
                <w:bCs/>
                <w:color w:val="FFFFFF"/>
                <w:sz w:val="18"/>
                <w:szCs w:val="18"/>
              </w:rPr>
              <w:t>Sector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7A4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81584" w:rsidRDefault="00000000">
            <w:r>
              <w:rPr>
                <w:b/>
                <w:bCs/>
                <w:color w:val="FFFFFF"/>
                <w:sz w:val="18"/>
                <w:szCs w:val="18"/>
              </w:rPr>
              <w:t>Companies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7A4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81584" w:rsidRDefault="00000000">
            <w:r>
              <w:rPr>
                <w:b/>
                <w:bCs/>
                <w:color w:val="FFFFFF"/>
                <w:sz w:val="18"/>
                <w:szCs w:val="18"/>
              </w:rPr>
              <w:t>Funding (USD)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7A4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81584" w:rsidRDefault="00000000">
            <w:r>
              <w:rPr>
                <w:b/>
                <w:bCs/>
                <w:color w:val="FFFFFF"/>
                <w:sz w:val="18"/>
                <w:szCs w:val="18"/>
              </w:rPr>
              <w:t>Share</w:t>
            </w:r>
          </w:p>
        </w:tc>
      </w:tr>
      <w:tr w:rsidR="00881584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81584" w:rsidRDefault="00000000">
            <w:r>
              <w:rPr>
                <w:sz w:val="18"/>
                <w:szCs w:val="18"/>
              </w:rPr>
              <w:t>Hospitals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81584" w:rsidRDefault="00000000">
            <w:r>
              <w:rPr>
                <w:sz w:val="18"/>
                <w:szCs w:val="18"/>
              </w:rPr>
              <w:t>21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81584" w:rsidRDefault="00000000">
            <w:r>
              <w:rPr>
                <w:sz w:val="18"/>
                <w:szCs w:val="18"/>
              </w:rPr>
              <w:t>$596M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81584" w:rsidRDefault="00000000">
            <w:r>
              <w:rPr>
                <w:sz w:val="18"/>
                <w:szCs w:val="18"/>
              </w:rPr>
              <w:t>51%</w:t>
            </w:r>
          </w:p>
        </w:tc>
      </w:tr>
      <w:tr w:rsidR="00881584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81584" w:rsidRDefault="00000000">
            <w:r>
              <w:rPr>
                <w:sz w:val="18"/>
                <w:szCs w:val="18"/>
              </w:rPr>
              <w:t>Vaccines &amp; Anti-Venom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81584" w:rsidRDefault="00000000">
            <w:r>
              <w:rPr>
                <w:sz w:val="18"/>
                <w:szCs w:val="18"/>
              </w:rPr>
              <w:t>5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81584" w:rsidRDefault="00000000">
            <w:r>
              <w:rPr>
                <w:sz w:val="18"/>
                <w:szCs w:val="18"/>
              </w:rPr>
              <w:t>$266M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81584" w:rsidRDefault="00000000">
            <w:r>
              <w:rPr>
                <w:sz w:val="18"/>
                <w:szCs w:val="18"/>
              </w:rPr>
              <w:t>23%</w:t>
            </w:r>
          </w:p>
        </w:tc>
      </w:tr>
      <w:tr w:rsidR="00881584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81584" w:rsidRDefault="00000000">
            <w:r>
              <w:rPr>
                <w:sz w:val="18"/>
                <w:szCs w:val="18"/>
              </w:rPr>
              <w:t>Medical Supplies &amp; Equipment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81584" w:rsidRDefault="00000000">
            <w:r>
              <w:rPr>
                <w:sz w:val="18"/>
                <w:szCs w:val="18"/>
              </w:rPr>
              <w:t>14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81584" w:rsidRDefault="00000000">
            <w:r>
              <w:rPr>
                <w:sz w:val="18"/>
                <w:szCs w:val="18"/>
              </w:rPr>
              <w:t>$162M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81584" w:rsidRDefault="00000000">
            <w:r>
              <w:rPr>
                <w:sz w:val="18"/>
                <w:szCs w:val="18"/>
              </w:rPr>
              <w:t>14%</w:t>
            </w:r>
          </w:p>
        </w:tc>
      </w:tr>
      <w:tr w:rsidR="00881584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81584" w:rsidRDefault="00000000">
            <w:r>
              <w:rPr>
                <w:sz w:val="18"/>
                <w:szCs w:val="18"/>
              </w:rPr>
              <w:t>Pharmaceuticals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81584" w:rsidRDefault="00000000">
            <w:r>
              <w:rPr>
                <w:sz w:val="18"/>
                <w:szCs w:val="18"/>
              </w:rPr>
              <w:t>13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81584" w:rsidRDefault="00000000">
            <w:r>
              <w:rPr>
                <w:sz w:val="18"/>
                <w:szCs w:val="18"/>
              </w:rPr>
              <w:t>$135M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81584" w:rsidRDefault="00000000">
            <w:r>
              <w:rPr>
                <w:sz w:val="18"/>
                <w:szCs w:val="18"/>
              </w:rPr>
              <w:t>12%</w:t>
            </w:r>
          </w:p>
        </w:tc>
      </w:tr>
    </w:tbl>
    <w:p w:rsidR="00881584" w:rsidRDefault="00000000">
      <w:pPr>
        <w:spacing w:before="100" w:after="60"/>
      </w:pPr>
      <w:r>
        <w:rPr>
          <w:sz w:val="19"/>
          <w:szCs w:val="19"/>
        </w:rPr>
        <w:t>68% of pipeline companies seek funding below USD 20m, aligning with BOI’s bracket. The pipeline spans prevention (vaccines, LLINs), treatment (pharma, IV fluids, consumables), diagnostics (RDTs, telemedicine), and delivery (hospitals, pharmacies, management).</w:t>
      </w:r>
    </w:p>
    <w:p w:rsidR="00881584" w:rsidRDefault="00000000">
      <w:pPr>
        <w:pStyle w:val="Heading1"/>
      </w:pPr>
      <w:r>
        <w:t>DFI Engagement Status</w:t>
      </w:r>
    </w:p>
    <w:p w:rsidR="00881584" w:rsidRDefault="00000000">
      <w:pPr>
        <w:pStyle w:val="Heading2"/>
      </w:pPr>
      <w:r>
        <w:t>European Investment Bank (EIB)</w:t>
      </w:r>
    </w:p>
    <w:p w:rsidR="00881584" w:rsidRDefault="00000000">
      <w:pPr>
        <w:spacing w:after="40"/>
      </w:pPr>
      <w:r>
        <w:rPr>
          <w:sz w:val="19"/>
          <w:szCs w:val="19"/>
        </w:rPr>
        <w:t xml:space="preserve">Engaged since Nov 2024. 8 teasers shared. </w:t>
      </w:r>
      <w:r w:rsidR="00912939">
        <w:rPr>
          <w:sz w:val="19"/>
          <w:szCs w:val="19"/>
        </w:rPr>
        <w:t>One company</w:t>
      </w:r>
      <w:r>
        <w:rPr>
          <w:sz w:val="19"/>
          <w:szCs w:val="19"/>
        </w:rPr>
        <w:t xml:space="preserve"> has received no-contest approval and is in advanced documentation. EIB visited Nigeria in May 2025</w:t>
      </w:r>
    </w:p>
    <w:p w:rsidR="00881584" w:rsidRDefault="00000000">
      <w:pPr>
        <w:pStyle w:val="Heading2"/>
      </w:pPr>
      <w:r>
        <w:t>Afreximbank</w:t>
      </w:r>
    </w:p>
    <w:p w:rsidR="00881584" w:rsidRDefault="00000000">
      <w:pPr>
        <w:spacing w:after="40"/>
      </w:pPr>
      <w:r>
        <w:rPr>
          <w:sz w:val="19"/>
          <w:szCs w:val="19"/>
        </w:rPr>
        <w:t>Engaged across 3 teams (large deals &gt;$10m, small deals &lt;$5m, APPF for project preparation)</w:t>
      </w:r>
    </w:p>
    <w:p w:rsidR="00881584" w:rsidRDefault="00000000">
      <w:pPr>
        <w:pStyle w:val="Heading2"/>
      </w:pPr>
      <w:r>
        <w:t>Bank of Industry (BOI)</w:t>
      </w:r>
    </w:p>
    <w:p w:rsidR="00881584" w:rsidRDefault="00000000" w:rsidP="008619B4">
      <w:pPr>
        <w:spacing w:after="40"/>
      </w:pPr>
      <w:r>
        <w:rPr>
          <w:sz w:val="19"/>
          <w:szCs w:val="19"/>
        </w:rPr>
        <w:t>Engaged since Aug 2024 on 16+ transactions. 10 companies have completed all documentation except LOI and bank guarantees. NCGC partnership being explored to guarantee up to 60% of transactions</w:t>
      </w:r>
    </w:p>
    <w:p w:rsidR="00881584" w:rsidRDefault="00000000">
      <w:pPr>
        <w:pStyle w:val="Heading2"/>
      </w:pPr>
      <w:r>
        <w:t>African Development Bank (AfDB)</w:t>
      </w:r>
    </w:p>
    <w:p w:rsidR="00881584" w:rsidRDefault="00000000">
      <w:pPr>
        <w:spacing w:after="40"/>
      </w:pPr>
      <w:r>
        <w:rPr>
          <w:sz w:val="19"/>
          <w:szCs w:val="19"/>
        </w:rPr>
        <w:t>Engaged since Apr 2025. 16 one-pagers shared; 4 companies shortlisted</w:t>
      </w:r>
    </w:p>
    <w:p w:rsidR="00881584" w:rsidRDefault="00000000">
      <w:pPr>
        <w:pStyle w:val="Heading2"/>
      </w:pPr>
      <w:r>
        <w:t>NSIA</w:t>
      </w:r>
    </w:p>
    <w:p w:rsidR="00881584" w:rsidRDefault="00000000">
      <w:pPr>
        <w:spacing w:after="40"/>
      </w:pPr>
      <w:r>
        <w:rPr>
          <w:sz w:val="19"/>
          <w:szCs w:val="19"/>
        </w:rPr>
        <w:t>Engaged since Jan 2025. 5 teasers shared. 2 companies have advanced to KYC stage. Due diligence visits planned. NSIA offering mixed Naira/Dollar debt to reduce forex risk.</w:t>
      </w:r>
    </w:p>
    <w:p w:rsidR="00881584" w:rsidRDefault="00000000">
      <w:pPr>
        <w:pStyle w:val="Heading2"/>
      </w:pPr>
      <w:r>
        <w:t>IFC</w:t>
      </w:r>
    </w:p>
    <w:p w:rsidR="00881584" w:rsidRDefault="00000000">
      <w:pPr>
        <w:spacing w:after="40"/>
      </w:pPr>
      <w:r>
        <w:rPr>
          <w:sz w:val="19"/>
          <w:szCs w:val="19"/>
        </w:rPr>
        <w:t>Engaged since Feb 2025. Interest shown in projects outside major metros and in co-funding the PVAC/Empower Swiss manufacturing academy</w:t>
      </w:r>
    </w:p>
    <w:p w:rsidR="00881584" w:rsidRDefault="00000000">
      <w:pPr>
        <w:pStyle w:val="Heading1"/>
      </w:pPr>
      <w:r>
        <w:t>Key Progress Levers &amp; Challenges</w:t>
      </w:r>
    </w:p>
    <w:p w:rsidR="00881584" w:rsidRPr="008619B4" w:rsidRDefault="00000000">
      <w:pPr>
        <w:pStyle w:val="ListParagraph"/>
        <w:numPr>
          <w:ilvl w:val="0"/>
          <w:numId w:val="2"/>
        </w:numPr>
        <w:spacing w:after="40"/>
      </w:pPr>
      <w:r>
        <w:rPr>
          <w:sz w:val="19"/>
          <w:szCs w:val="19"/>
        </w:rPr>
        <w:t xml:space="preserve">USD 75m unlocked via </w:t>
      </w:r>
      <w:proofErr w:type="spellStart"/>
      <w:r>
        <w:rPr>
          <w:sz w:val="19"/>
          <w:szCs w:val="19"/>
        </w:rPr>
        <w:t>Afrexim</w:t>
      </w:r>
      <w:proofErr w:type="spellEnd"/>
      <w:r>
        <w:rPr>
          <w:sz w:val="19"/>
          <w:szCs w:val="19"/>
        </w:rPr>
        <w:t>-BOI partnership for smaller healthcare deals</w:t>
      </w:r>
    </w:p>
    <w:p w:rsidR="008619B4" w:rsidRDefault="008619B4">
      <w:pPr>
        <w:pStyle w:val="ListParagraph"/>
        <w:numPr>
          <w:ilvl w:val="0"/>
          <w:numId w:val="2"/>
        </w:numPr>
        <w:spacing w:after="40"/>
      </w:pPr>
      <w:r>
        <w:rPr>
          <w:sz w:val="19"/>
          <w:szCs w:val="19"/>
        </w:rPr>
        <w:t>EUR 50m unlocked via EIB-BOI partnership for smaller healthcare deals</w:t>
      </w:r>
    </w:p>
    <w:p w:rsidR="00881584" w:rsidRDefault="00000000">
      <w:pPr>
        <w:pStyle w:val="ListParagraph"/>
        <w:numPr>
          <w:ilvl w:val="0"/>
          <w:numId w:val="2"/>
        </w:numPr>
        <w:spacing w:after="40"/>
      </w:pPr>
      <w:r>
        <w:rPr>
          <w:sz w:val="19"/>
          <w:szCs w:val="19"/>
        </w:rPr>
        <w:t>NCGC guarantee discussions underway to ease BOI collateral constraints (up to 60%)</w:t>
      </w:r>
    </w:p>
    <w:p w:rsidR="00881584" w:rsidRDefault="00000000">
      <w:pPr>
        <w:pStyle w:val="ListParagraph"/>
        <w:numPr>
          <w:ilvl w:val="0"/>
          <w:numId w:val="2"/>
        </w:numPr>
        <w:spacing w:after="40"/>
      </w:pPr>
      <w:r>
        <w:rPr>
          <w:sz w:val="19"/>
          <w:szCs w:val="19"/>
        </w:rPr>
        <w:t>APPF facility advancing early-stage project preparation for large transactions</w:t>
      </w:r>
    </w:p>
    <w:p w:rsidR="00881584" w:rsidRDefault="00000000">
      <w:pPr>
        <w:pStyle w:val="ListParagraph"/>
        <w:numPr>
          <w:ilvl w:val="0"/>
          <w:numId w:val="2"/>
        </w:numPr>
        <w:spacing w:after="40"/>
      </w:pPr>
      <w:r>
        <w:rPr>
          <w:sz w:val="19"/>
          <w:szCs w:val="19"/>
        </w:rPr>
        <w:t>10 DFIs engaged across local and foreign institutions</w:t>
      </w:r>
    </w:p>
    <w:p w:rsidR="00881584" w:rsidRPr="008619B4" w:rsidRDefault="00000000">
      <w:pPr>
        <w:pStyle w:val="ListParagraph"/>
        <w:numPr>
          <w:ilvl w:val="0"/>
          <w:numId w:val="2"/>
        </w:numPr>
        <w:spacing w:after="40"/>
      </w:pPr>
      <w:r>
        <w:rPr>
          <w:sz w:val="19"/>
          <w:szCs w:val="19"/>
        </w:rPr>
        <w:t>Potential for ~10,000 new jobs and ~$5bn total value to Nigeria across the pipeline</w:t>
      </w:r>
    </w:p>
    <w:p w:rsidR="008619B4" w:rsidRDefault="008619B4" w:rsidP="008619B4">
      <w:pPr>
        <w:spacing w:after="40"/>
      </w:pPr>
    </w:p>
    <w:p w:rsidR="00881584" w:rsidRDefault="00000000">
      <w:pPr>
        <w:pStyle w:val="Heading1"/>
      </w:pPr>
      <w:r>
        <w:t>Conclusion</w:t>
      </w:r>
    </w:p>
    <w:p w:rsidR="00881584" w:rsidRDefault="00000000">
      <w:pPr>
        <w:spacing w:after="40"/>
      </w:pPr>
      <w:r>
        <w:rPr>
          <w:sz w:val="19"/>
          <w:szCs w:val="19"/>
        </w:rPr>
        <w:lastRenderedPageBreak/>
        <w:t xml:space="preserve">PVAC has built a robust, diversified healthcare pipeline with strong conversion potential. Active engagement across 10 DFIs, combined with strategic instruments like the </w:t>
      </w:r>
      <w:proofErr w:type="spellStart"/>
      <w:r>
        <w:rPr>
          <w:sz w:val="19"/>
          <w:szCs w:val="19"/>
        </w:rPr>
        <w:t>Afrexim</w:t>
      </w:r>
      <w:proofErr w:type="spellEnd"/>
      <w:r>
        <w:rPr>
          <w:sz w:val="19"/>
          <w:szCs w:val="19"/>
        </w:rPr>
        <w:t>-BOI facility and NCGC guarantees, is positioning Nigeria’s healthcare manufacturing and service delivery sectors for accelerated investment and growth.</w:t>
      </w:r>
    </w:p>
    <w:sectPr w:rsidR="00881584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76B8"/>
    <w:multiLevelType w:val="hybridMultilevel"/>
    <w:tmpl w:val="8BA0F722"/>
    <w:lvl w:ilvl="0" w:tplc="590E04F2">
      <w:start w:val="1"/>
      <w:numFmt w:val="bullet"/>
      <w:lvlText w:val="•"/>
      <w:lvlJc w:val="left"/>
      <w:pPr>
        <w:ind w:left="360" w:hanging="180"/>
      </w:pPr>
    </w:lvl>
    <w:lvl w:ilvl="1" w:tplc="0C50C71C">
      <w:numFmt w:val="decimal"/>
      <w:lvlText w:val=""/>
      <w:lvlJc w:val="left"/>
    </w:lvl>
    <w:lvl w:ilvl="2" w:tplc="F222A6A0">
      <w:numFmt w:val="decimal"/>
      <w:lvlText w:val=""/>
      <w:lvlJc w:val="left"/>
    </w:lvl>
    <w:lvl w:ilvl="3" w:tplc="BF28D454">
      <w:numFmt w:val="decimal"/>
      <w:lvlText w:val=""/>
      <w:lvlJc w:val="left"/>
    </w:lvl>
    <w:lvl w:ilvl="4" w:tplc="308A8024">
      <w:numFmt w:val="decimal"/>
      <w:lvlText w:val=""/>
      <w:lvlJc w:val="left"/>
    </w:lvl>
    <w:lvl w:ilvl="5" w:tplc="8318CA0C">
      <w:numFmt w:val="decimal"/>
      <w:lvlText w:val=""/>
      <w:lvlJc w:val="left"/>
    </w:lvl>
    <w:lvl w:ilvl="6" w:tplc="BC409D3A">
      <w:numFmt w:val="decimal"/>
      <w:lvlText w:val=""/>
      <w:lvlJc w:val="left"/>
    </w:lvl>
    <w:lvl w:ilvl="7" w:tplc="21087FEA">
      <w:numFmt w:val="decimal"/>
      <w:lvlText w:val=""/>
      <w:lvlJc w:val="left"/>
    </w:lvl>
    <w:lvl w:ilvl="8" w:tplc="D5EA0146">
      <w:numFmt w:val="decimal"/>
      <w:lvlText w:val=""/>
      <w:lvlJc w:val="left"/>
    </w:lvl>
  </w:abstractNum>
  <w:abstractNum w:abstractNumId="1" w15:restartNumberingAfterBreak="0">
    <w:nsid w:val="76351D22"/>
    <w:multiLevelType w:val="hybridMultilevel"/>
    <w:tmpl w:val="D5223674"/>
    <w:lvl w:ilvl="0" w:tplc="70CCAF90">
      <w:start w:val="1"/>
      <w:numFmt w:val="bullet"/>
      <w:lvlText w:val="●"/>
      <w:lvlJc w:val="left"/>
      <w:pPr>
        <w:ind w:left="720" w:hanging="360"/>
      </w:pPr>
    </w:lvl>
    <w:lvl w:ilvl="1" w:tplc="9976C3A0">
      <w:start w:val="1"/>
      <w:numFmt w:val="bullet"/>
      <w:lvlText w:val="○"/>
      <w:lvlJc w:val="left"/>
      <w:pPr>
        <w:ind w:left="1440" w:hanging="360"/>
      </w:pPr>
    </w:lvl>
    <w:lvl w:ilvl="2" w:tplc="76EA4EA6">
      <w:start w:val="1"/>
      <w:numFmt w:val="bullet"/>
      <w:lvlText w:val="■"/>
      <w:lvlJc w:val="left"/>
      <w:pPr>
        <w:ind w:left="2160" w:hanging="360"/>
      </w:pPr>
    </w:lvl>
    <w:lvl w:ilvl="3" w:tplc="C0BC9374">
      <w:start w:val="1"/>
      <w:numFmt w:val="bullet"/>
      <w:lvlText w:val="●"/>
      <w:lvlJc w:val="left"/>
      <w:pPr>
        <w:ind w:left="2880" w:hanging="360"/>
      </w:pPr>
    </w:lvl>
    <w:lvl w:ilvl="4" w:tplc="331C4AC8">
      <w:start w:val="1"/>
      <w:numFmt w:val="bullet"/>
      <w:lvlText w:val="○"/>
      <w:lvlJc w:val="left"/>
      <w:pPr>
        <w:ind w:left="3600" w:hanging="360"/>
      </w:pPr>
    </w:lvl>
    <w:lvl w:ilvl="5" w:tplc="31168310">
      <w:start w:val="1"/>
      <w:numFmt w:val="bullet"/>
      <w:lvlText w:val="■"/>
      <w:lvlJc w:val="left"/>
      <w:pPr>
        <w:ind w:left="4320" w:hanging="360"/>
      </w:pPr>
    </w:lvl>
    <w:lvl w:ilvl="6" w:tplc="6E60E1C6">
      <w:start w:val="1"/>
      <w:numFmt w:val="bullet"/>
      <w:lvlText w:val="●"/>
      <w:lvlJc w:val="left"/>
      <w:pPr>
        <w:ind w:left="5040" w:hanging="360"/>
      </w:pPr>
    </w:lvl>
    <w:lvl w:ilvl="7" w:tplc="0E427426">
      <w:start w:val="1"/>
      <w:numFmt w:val="bullet"/>
      <w:lvlText w:val="●"/>
      <w:lvlJc w:val="left"/>
      <w:pPr>
        <w:ind w:left="5760" w:hanging="360"/>
      </w:pPr>
    </w:lvl>
    <w:lvl w:ilvl="8" w:tplc="5F42CE38">
      <w:start w:val="1"/>
      <w:numFmt w:val="bullet"/>
      <w:lvlText w:val="●"/>
      <w:lvlJc w:val="left"/>
      <w:pPr>
        <w:ind w:left="6480" w:hanging="360"/>
      </w:pPr>
    </w:lvl>
  </w:abstractNum>
  <w:num w:numId="1" w16cid:durableId="1481001785">
    <w:abstractNumId w:val="1"/>
    <w:lvlOverride w:ilvl="0">
      <w:startOverride w:val="1"/>
    </w:lvlOverride>
  </w:num>
  <w:num w:numId="2" w16cid:durableId="17837259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584"/>
    <w:rsid w:val="002F71C5"/>
    <w:rsid w:val="00327DCD"/>
    <w:rsid w:val="00444307"/>
    <w:rsid w:val="00614F5C"/>
    <w:rsid w:val="008619B4"/>
    <w:rsid w:val="00881584"/>
    <w:rsid w:val="0091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423A1E"/>
  <w15:docId w15:val="{B6DFD21A-F195-5543-A9C8-0E600A25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20" w:after="80"/>
      <w:outlineLvl w:val="0"/>
    </w:pPr>
    <w:rPr>
      <w:b/>
      <w:bCs/>
      <w:color w:val="1B7A43"/>
      <w:sz w:val="28"/>
      <w:szCs w:val="28"/>
    </w:rPr>
  </w:style>
  <w:style w:type="paragraph" w:styleId="Heading2">
    <w:name w:val="heading 2"/>
    <w:uiPriority w:val="9"/>
    <w:unhideWhenUsed/>
    <w:qFormat/>
    <w:pPr>
      <w:spacing w:before="100" w:after="60"/>
      <w:outlineLvl w:val="1"/>
    </w:pPr>
    <w:rPr>
      <w:b/>
      <w:bCs/>
      <w:color w:val="1B7A43"/>
      <w:sz w:val="22"/>
      <w:szCs w:val="2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Emeka Ogudu</cp:lastModifiedBy>
  <cp:revision>4</cp:revision>
  <dcterms:created xsi:type="dcterms:W3CDTF">2026-04-09T15:15:00Z</dcterms:created>
  <dcterms:modified xsi:type="dcterms:W3CDTF">2026-04-10T13:27:00Z</dcterms:modified>
</cp:coreProperties>
</file>